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658" w:rsidRPr="00253D4A" w:rsidRDefault="006B1658" w:rsidP="006B1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4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B1658" w:rsidRPr="00253D4A" w:rsidRDefault="006B1658" w:rsidP="006B1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отчету об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исполнении</w:t>
      </w:r>
      <w:r w:rsidRPr="00253D4A">
        <w:rPr>
          <w:rFonts w:ascii="Times New Roman" w:hAnsi="Times New Roman" w:cs="Times New Roman"/>
          <w:b/>
          <w:sz w:val="28"/>
          <w:szCs w:val="28"/>
        </w:rPr>
        <w:t xml:space="preserve"> бюджета сельского поселения сумона Солчурский Овюрского кожууна Республики Тыва за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53D4A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253D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B1658" w:rsidRDefault="006B1658" w:rsidP="006B1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Исполнение бюджета сельского поселения сумон Солчурский Овюрского кожууна Республики Тыва утверждено Решением Хурала представителей сельского поселения сумон Солчурский Овюрского кожууна Республики Тыва от 27.12.2019 г. № 21 «</w:t>
      </w:r>
      <w:r w:rsidRPr="00974D02">
        <w:rPr>
          <w:rFonts w:ascii="Times New Roman" w:hAnsi="Times New Roman" w:cs="Times New Roman"/>
          <w:sz w:val="28"/>
          <w:szCs w:val="28"/>
        </w:rPr>
        <w:t>О бюджете сельского поселения сумон</w:t>
      </w:r>
      <w:r>
        <w:rPr>
          <w:rFonts w:ascii="Times New Roman" w:hAnsi="Times New Roman" w:cs="Times New Roman"/>
          <w:sz w:val="28"/>
          <w:szCs w:val="28"/>
        </w:rPr>
        <w:t>а Солчурский Овюрского кожууна Республики Тыва на 2019</w:t>
      </w:r>
      <w:r w:rsidRPr="00974D0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2020-2021 годов».</w:t>
      </w:r>
    </w:p>
    <w:p w:rsidR="006B1658" w:rsidRPr="00747962" w:rsidRDefault="006B1658" w:rsidP="006B1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Доходы.</w:t>
      </w:r>
    </w:p>
    <w:p w:rsidR="006B1658" w:rsidRDefault="006B1658" w:rsidP="006B1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Исполнение бюджета сельского поселения сумон Солчурский за 2 квартал 2020 года составило по доходам в сумме 2147,86 тыс.рублей или 52,07% к годовому плану поступлений  (поступление за 2 квартал 2019 года составило 2008,21 тыс.рублей),что больше на 139,65 тыс.рублей по сравнению с предыдущим периодом прошлого года.</w:t>
      </w:r>
    </w:p>
    <w:p w:rsidR="006B1658" w:rsidRPr="00B839CA" w:rsidRDefault="006B1658" w:rsidP="006B1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отчетный период налоговые и неналоговые доходы бюджета поселения исполнены в сумме 143,95 тыс.рублей или 51,78% к годовым бюджетным назначениям, в том числе</w:t>
      </w:r>
      <w:r w:rsidRPr="00B839CA">
        <w:rPr>
          <w:rFonts w:ascii="Times New Roman" w:hAnsi="Times New Roman" w:cs="Times New Roman"/>
          <w:sz w:val="28"/>
          <w:szCs w:val="28"/>
        </w:rPr>
        <w:t>:</w:t>
      </w:r>
    </w:p>
    <w:p w:rsidR="006B1658" w:rsidRDefault="006B1658" w:rsidP="006B1658">
      <w:pPr>
        <w:jc w:val="both"/>
        <w:rPr>
          <w:rFonts w:ascii="Times New Roman" w:hAnsi="Times New Roman" w:cs="Times New Roman"/>
          <w:sz w:val="28"/>
          <w:szCs w:val="28"/>
        </w:rPr>
      </w:pPr>
      <w:r w:rsidRPr="00B839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налог на доходы физических лиц с доходов источником которых является налоговый агент,за исключением доходов ,в отношении которых исчисление и уплата налога осуществляются в соответствии со статьями 227,2271 и 228 Налогового кодекса Российской Федерации 47,88 тыс.рублей или 59,11% к годовым бюджетным назначениям (2</w:t>
      </w:r>
      <w:r w:rsidRPr="008D04B3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D04B3">
        <w:rPr>
          <w:rFonts w:ascii="Times New Roman" w:hAnsi="Times New Roman" w:cs="Times New Roman"/>
          <w:sz w:val="28"/>
          <w:szCs w:val="28"/>
        </w:rPr>
        <w:t xml:space="preserve"> года -</w:t>
      </w:r>
      <w:r>
        <w:rPr>
          <w:rFonts w:ascii="Times New Roman" w:hAnsi="Times New Roman" w:cs="Times New Roman"/>
          <w:sz w:val="28"/>
          <w:szCs w:val="28"/>
        </w:rPr>
        <w:t>52,43 тыс.рублей).Уменьшение на 4,55 тыс.рублей по сравнению с предыдущим периодом прошлого года.</w:t>
      </w:r>
    </w:p>
    <w:p w:rsidR="006B1658" w:rsidRDefault="006B1658" w:rsidP="006B1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-земельный налог -49,66 тыс.рублей или 62,86% к годовым бюджетным назначениям (2</w:t>
      </w:r>
      <w:r w:rsidRPr="008D04B3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D04B3">
        <w:rPr>
          <w:rFonts w:ascii="Times New Roman" w:hAnsi="Times New Roman" w:cs="Times New Roman"/>
          <w:sz w:val="28"/>
          <w:szCs w:val="28"/>
        </w:rPr>
        <w:t xml:space="preserve"> года исполнение составило </w:t>
      </w:r>
      <w:r>
        <w:rPr>
          <w:rFonts w:ascii="Times New Roman" w:hAnsi="Times New Roman" w:cs="Times New Roman"/>
          <w:sz w:val="28"/>
          <w:szCs w:val="28"/>
        </w:rPr>
        <w:t>19,37 тыс.рублей).Увеличение на 30,29 тыс.рублей.</w:t>
      </w:r>
    </w:p>
    <w:p w:rsidR="006B1658" w:rsidRDefault="006B1658" w:rsidP="006B1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неналоговые доходы -35,79 тыс.рублей, 68,83 % к годовым .Увеличение на 27,79 тыс.рублей по сравнению с предыдущим периодом прошлого года.</w:t>
      </w:r>
    </w:p>
    <w:p w:rsidR="006B1658" w:rsidRDefault="006B1658" w:rsidP="006B1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Удельный вес налоговых и неналоговых доходов в общем объеме доходов за 2 квартал 2020 года составляет 24,86% или на 68,83% к годовому плану поступления доходов.</w:t>
      </w:r>
    </w:p>
    <w:p w:rsidR="006B1658" w:rsidRPr="00921BE9" w:rsidRDefault="006B1658" w:rsidP="006B1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Объем безвозмездных поступлений в бюджет поселения за 6 месяцев 2020 года составил 2003,91 тыс.рублей или 52,09% к годовым назначениям (2</w:t>
      </w:r>
      <w:r w:rsidRPr="00F22360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22360">
        <w:rPr>
          <w:rFonts w:ascii="Times New Roman" w:hAnsi="Times New Roman" w:cs="Times New Roman"/>
          <w:sz w:val="28"/>
          <w:szCs w:val="28"/>
        </w:rPr>
        <w:t xml:space="preserve"> года исполнение составило </w:t>
      </w:r>
      <w:r>
        <w:rPr>
          <w:rFonts w:ascii="Times New Roman" w:hAnsi="Times New Roman" w:cs="Times New Roman"/>
          <w:sz w:val="28"/>
          <w:szCs w:val="28"/>
        </w:rPr>
        <w:t>1921,54 тыс.рублей),в том числе</w:t>
      </w:r>
      <w:r w:rsidRPr="00921BE9">
        <w:rPr>
          <w:rFonts w:ascii="Times New Roman" w:hAnsi="Times New Roman" w:cs="Times New Roman"/>
          <w:sz w:val="28"/>
          <w:szCs w:val="28"/>
        </w:rPr>
        <w:t>:</w:t>
      </w:r>
    </w:p>
    <w:p w:rsidR="006B1658" w:rsidRDefault="006B1658" w:rsidP="006B1658">
      <w:pPr>
        <w:jc w:val="both"/>
        <w:rPr>
          <w:rFonts w:ascii="Times New Roman" w:hAnsi="Times New Roman" w:cs="Times New Roman"/>
          <w:sz w:val="28"/>
          <w:szCs w:val="28"/>
        </w:rPr>
      </w:pPr>
      <w:r w:rsidRPr="00921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дотация бюджетам поселений на выравнивание бюджетной обеспеченности -1828,36 тыс.рублей(2</w:t>
      </w:r>
      <w:r w:rsidRPr="00F22360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22360">
        <w:rPr>
          <w:rFonts w:ascii="Times New Roman" w:hAnsi="Times New Roman" w:cs="Times New Roman"/>
          <w:sz w:val="28"/>
          <w:szCs w:val="28"/>
        </w:rPr>
        <w:t xml:space="preserve"> года поступление составило </w:t>
      </w:r>
      <w:r>
        <w:rPr>
          <w:rFonts w:ascii="Times New Roman" w:hAnsi="Times New Roman" w:cs="Times New Roman"/>
          <w:sz w:val="28"/>
          <w:szCs w:val="28"/>
        </w:rPr>
        <w:t>1693,44 тыс.рублей).</w:t>
      </w:r>
    </w:p>
    <w:p w:rsidR="006B1658" w:rsidRDefault="006B1658" w:rsidP="006B1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-субвенции бюджетам сельских поселений на осуществление первичного воинского учета на территориях,где отсутствуют военные комиссариаты-78,55 тыс.рублей.</w:t>
      </w:r>
    </w:p>
    <w:p w:rsidR="006B1658" w:rsidRDefault="006B1658" w:rsidP="006B1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Удельный вес безвозмездных поступлений в общем объеме доходов на 2 квартал 2020 года составляет 93,29 %,исполнение составило 52,09% к годовым назначениям.</w:t>
      </w:r>
    </w:p>
    <w:p w:rsidR="006B1658" w:rsidRDefault="006B1658" w:rsidP="006B1658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658" w:rsidRDefault="006B1658" w:rsidP="006B1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Исполнение бюджета сельского поселения сумон Солчурский Овюрского кожууна Республики Тыва за 2 квартал 2020 года по статье расходы составило 2120,11 тыс.рублей или 51,36% к годовым назначениям.</w:t>
      </w:r>
    </w:p>
    <w:p w:rsidR="006B1658" w:rsidRPr="00747962" w:rsidRDefault="006B1658" w:rsidP="006B1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Раздел 0100 «Общегосударственные вопросы»</w:t>
      </w:r>
    </w:p>
    <w:p w:rsidR="006B1658" w:rsidRDefault="006B1658" w:rsidP="006B1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данному разделу в бюджете предусмотрено средств на 2020 год 3872,0 тыс.рублей.Расходы по состоянию нас 01.07.2020 года сложились в сумме 2011,86 тыс.рублей, что на 99,11 тыс.рублей больше по сравнению с предыдущим отчетным периодом).</w:t>
      </w:r>
    </w:p>
    <w:p w:rsidR="006B1658" w:rsidRDefault="006B1658" w:rsidP="006B1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Штатная численность администрации Солчурского сельского поселения на 01.07.2020 года составила 10 человек, в том числе должности муниципальных служащих-3 человек.</w:t>
      </w:r>
    </w:p>
    <w:p w:rsidR="006B1658" w:rsidRDefault="006B1658" w:rsidP="006B1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подразделу 0104 «Функционирование Правительства Российской Федерации ,высших исполнительных органов государственной власти субъектов Российской Федерации,местных администраций» израсходовано 1258,27 тыс.рублей, при годовом плане 2551,2 тыс.рублей(49,32% от плана) (2</w:t>
      </w:r>
      <w:r w:rsidRPr="004379F3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379F3">
        <w:rPr>
          <w:rFonts w:ascii="Times New Roman" w:hAnsi="Times New Roman" w:cs="Times New Roman"/>
          <w:sz w:val="28"/>
          <w:szCs w:val="28"/>
        </w:rPr>
        <w:t xml:space="preserve"> года исполнение составило </w:t>
      </w:r>
      <w:r>
        <w:rPr>
          <w:rFonts w:ascii="Times New Roman" w:hAnsi="Times New Roman" w:cs="Times New Roman"/>
          <w:sz w:val="28"/>
          <w:szCs w:val="28"/>
        </w:rPr>
        <w:t>1221,82 тыс.рублей).Расходы по оплате труда и взносы по обязательному страхованию муниципальных служащих составили 1073,57 тыс.рублей (51,27% к годовым назначениям),удельный вес данных расходов в общей сумме расходов по подразделу составил 50,63%.Прочие расходы (услуги связи,оплата электроэнергии,услуги интернет,приобретение электронных ключей,перечисление налогов и сборов и др)за отчетный период составили 153,94 тыс.рублей.(</w:t>
      </w:r>
      <w:r w:rsidRPr="004379F3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79F3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379F3">
        <w:rPr>
          <w:rFonts w:ascii="Times New Roman" w:hAnsi="Times New Roman" w:cs="Times New Roman"/>
          <w:sz w:val="28"/>
          <w:szCs w:val="28"/>
        </w:rPr>
        <w:t xml:space="preserve"> года -</w:t>
      </w:r>
      <w:r>
        <w:rPr>
          <w:rFonts w:ascii="Times New Roman" w:hAnsi="Times New Roman" w:cs="Times New Roman"/>
          <w:sz w:val="28"/>
          <w:szCs w:val="28"/>
        </w:rPr>
        <w:t>219,31 тыс.рублей).</w:t>
      </w:r>
    </w:p>
    <w:p w:rsidR="006B1658" w:rsidRDefault="006B1658" w:rsidP="006B1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подразделу 0111 «Резервные фонды» годовая сумма финансирования 0,3 тыс.рублей в отчетном периоде расходы не производились.</w:t>
      </w:r>
    </w:p>
    <w:p w:rsidR="006B1658" w:rsidRDefault="006B1658" w:rsidP="006B16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658" w:rsidRDefault="006B1658" w:rsidP="006B16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658" w:rsidRDefault="006B1658" w:rsidP="006B16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658" w:rsidRPr="00747962" w:rsidRDefault="006B1658" w:rsidP="006B1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Раздел 0200 «Национальная оборона»</w:t>
      </w:r>
    </w:p>
    <w:p w:rsidR="006B1658" w:rsidRPr="00921BE9" w:rsidRDefault="006B1658" w:rsidP="006B1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подразделу 0203 «Мобилизационная и вневойсковая подготовка»с предусмотрены расходы на осуществление полномочий по первичному воинскому учету на территории Солчурского сельского поселения за счет субвенций из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федерального бюджета на осуществление полномочий по первичному воинскому учету на территориях, где отсутствуют военные комиссариаты.Штатная численность инспектора по воинскому учету составляет 0,4 штатной единице.Сумма средств , предусмотренная на финансирование расходов по данному подразделу составляет 156,0 тыс.рублей, за 2 квартал 2020 года освоено 63,13 тыс.рублей.</w:t>
      </w:r>
    </w:p>
    <w:p w:rsidR="006B1658" w:rsidRDefault="006B1658" w:rsidP="006B1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Первоочередными расходами при исполнении бюджета сельского поселения сумон Солчурский Овюрского кожууна Республики Тыва являются:</w:t>
      </w:r>
    </w:p>
    <w:p w:rsidR="006B1658" w:rsidRDefault="006B1658" w:rsidP="006B16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заработной платы который, занимает 62,12 % от общего объема расходов (1317,05 тыс. рублей).</w:t>
      </w:r>
    </w:p>
    <w:p w:rsidR="006B1658" w:rsidRDefault="006B1658" w:rsidP="006B16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коммунальных услуг: из них на потребление электроэнергии фактически выполнено на 40,93</w:t>
      </w:r>
      <w:r w:rsidRPr="00E87838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рублей, при плане 177,31 тыс. рублей или на 23,08%;</w:t>
      </w:r>
    </w:p>
    <w:p w:rsidR="006B1658" w:rsidRDefault="006B1658" w:rsidP="006B16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за отчетный период и темпы роста к аналогичному периоду прошлого года по разделам составило:</w:t>
      </w:r>
    </w:p>
    <w:p w:rsidR="006B1658" w:rsidRDefault="006B1658" w:rsidP="006B16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80"/>
        <w:gridCol w:w="1616"/>
        <w:gridCol w:w="1744"/>
        <w:gridCol w:w="1744"/>
        <w:gridCol w:w="1491"/>
      </w:tblGrid>
      <w:tr w:rsidR="006B1658" w:rsidTr="00951288">
        <w:tc>
          <w:tcPr>
            <w:tcW w:w="2880" w:type="dxa"/>
          </w:tcPr>
          <w:p w:rsidR="006B1658" w:rsidRDefault="006B1658" w:rsidP="00951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16" w:type="dxa"/>
          </w:tcPr>
          <w:p w:rsidR="006B1658" w:rsidRDefault="006B1658" w:rsidP="00951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1744" w:type="dxa"/>
          </w:tcPr>
          <w:p w:rsidR="006B1658" w:rsidRDefault="006B1658" w:rsidP="00951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 6 месяцев 2019г.</w:t>
            </w:r>
          </w:p>
        </w:tc>
        <w:tc>
          <w:tcPr>
            <w:tcW w:w="1744" w:type="dxa"/>
          </w:tcPr>
          <w:p w:rsidR="006B1658" w:rsidRDefault="006B1658" w:rsidP="00951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 6 месяцев 2020г.</w:t>
            </w:r>
          </w:p>
        </w:tc>
        <w:tc>
          <w:tcPr>
            <w:tcW w:w="1491" w:type="dxa"/>
          </w:tcPr>
          <w:p w:rsidR="006B1658" w:rsidRDefault="006B1658" w:rsidP="00951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к 2019 г.</w:t>
            </w:r>
          </w:p>
        </w:tc>
      </w:tr>
      <w:tr w:rsidR="006B1658" w:rsidTr="00951288">
        <w:tc>
          <w:tcPr>
            <w:tcW w:w="2880" w:type="dxa"/>
          </w:tcPr>
          <w:p w:rsidR="006B1658" w:rsidRDefault="006B1658" w:rsidP="009512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616" w:type="dxa"/>
          </w:tcPr>
          <w:p w:rsidR="006B1658" w:rsidRDefault="006B1658" w:rsidP="00951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44" w:type="dxa"/>
          </w:tcPr>
          <w:p w:rsidR="006B1658" w:rsidRDefault="006B1658" w:rsidP="00951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1221,82</w:t>
            </w:r>
          </w:p>
        </w:tc>
        <w:tc>
          <w:tcPr>
            <w:tcW w:w="1744" w:type="dxa"/>
          </w:tcPr>
          <w:p w:rsidR="006B1658" w:rsidRDefault="006B1658" w:rsidP="00951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1258,27</w:t>
            </w:r>
          </w:p>
        </w:tc>
        <w:tc>
          <w:tcPr>
            <w:tcW w:w="1491" w:type="dxa"/>
          </w:tcPr>
          <w:p w:rsidR="006B1658" w:rsidRDefault="006B1658" w:rsidP="00951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102,98</w:t>
            </w:r>
          </w:p>
        </w:tc>
      </w:tr>
      <w:tr w:rsidR="006B1658" w:rsidTr="00951288">
        <w:tc>
          <w:tcPr>
            <w:tcW w:w="2880" w:type="dxa"/>
          </w:tcPr>
          <w:p w:rsidR="006B1658" w:rsidRDefault="006B1658" w:rsidP="009512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616" w:type="dxa"/>
          </w:tcPr>
          <w:p w:rsidR="006B1658" w:rsidRDefault="006B1658" w:rsidP="00951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44" w:type="dxa"/>
          </w:tcPr>
          <w:p w:rsidR="006B1658" w:rsidRDefault="006B1658" w:rsidP="00951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44" w:type="dxa"/>
          </w:tcPr>
          <w:p w:rsidR="006B1658" w:rsidRDefault="006B1658" w:rsidP="00951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1" w:type="dxa"/>
          </w:tcPr>
          <w:p w:rsidR="006B1658" w:rsidRDefault="006B1658" w:rsidP="00951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B1658" w:rsidTr="00951288">
        <w:tc>
          <w:tcPr>
            <w:tcW w:w="2880" w:type="dxa"/>
          </w:tcPr>
          <w:p w:rsidR="006B1658" w:rsidRDefault="006B1658" w:rsidP="009512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16" w:type="dxa"/>
          </w:tcPr>
          <w:p w:rsidR="006B1658" w:rsidRDefault="006B1658" w:rsidP="00951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44" w:type="dxa"/>
          </w:tcPr>
          <w:p w:rsidR="006B1658" w:rsidRDefault="006B1658" w:rsidP="00951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628,53</w:t>
            </w:r>
          </w:p>
        </w:tc>
        <w:tc>
          <w:tcPr>
            <w:tcW w:w="1744" w:type="dxa"/>
          </w:tcPr>
          <w:p w:rsidR="006B1658" w:rsidRDefault="006B1658" w:rsidP="00951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691,19</w:t>
            </w:r>
          </w:p>
        </w:tc>
        <w:tc>
          <w:tcPr>
            <w:tcW w:w="1491" w:type="dxa"/>
          </w:tcPr>
          <w:p w:rsidR="006B1658" w:rsidRDefault="006B1658" w:rsidP="00951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109,96</w:t>
            </w:r>
          </w:p>
        </w:tc>
      </w:tr>
      <w:tr w:rsidR="006B1658" w:rsidTr="00951288">
        <w:tc>
          <w:tcPr>
            <w:tcW w:w="2880" w:type="dxa"/>
          </w:tcPr>
          <w:p w:rsidR="006B1658" w:rsidRDefault="006B1658" w:rsidP="009512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16" w:type="dxa"/>
          </w:tcPr>
          <w:p w:rsidR="006B1658" w:rsidRDefault="006B1658" w:rsidP="00951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44" w:type="dxa"/>
          </w:tcPr>
          <w:p w:rsidR="006B1658" w:rsidRDefault="006B1658" w:rsidP="00951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62,06</w:t>
            </w:r>
          </w:p>
        </w:tc>
        <w:tc>
          <w:tcPr>
            <w:tcW w:w="1744" w:type="dxa"/>
          </w:tcPr>
          <w:p w:rsidR="006B1658" w:rsidRDefault="006B1658" w:rsidP="00951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63,13</w:t>
            </w:r>
          </w:p>
        </w:tc>
        <w:tc>
          <w:tcPr>
            <w:tcW w:w="1491" w:type="dxa"/>
          </w:tcPr>
          <w:p w:rsidR="006B1658" w:rsidRDefault="006B1658" w:rsidP="00951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101,72</w:t>
            </w:r>
          </w:p>
        </w:tc>
      </w:tr>
      <w:tr w:rsidR="006B1658" w:rsidTr="00951288">
        <w:tc>
          <w:tcPr>
            <w:tcW w:w="2880" w:type="dxa"/>
          </w:tcPr>
          <w:p w:rsidR="006B1658" w:rsidRDefault="006B1658" w:rsidP="009512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16" w:type="dxa"/>
          </w:tcPr>
          <w:p w:rsidR="006B1658" w:rsidRDefault="006B1658" w:rsidP="00951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44" w:type="dxa"/>
          </w:tcPr>
          <w:p w:rsidR="006B1658" w:rsidRDefault="006B1658" w:rsidP="00951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44" w:type="dxa"/>
          </w:tcPr>
          <w:p w:rsidR="006B1658" w:rsidRDefault="006B1658" w:rsidP="00951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1" w:type="dxa"/>
          </w:tcPr>
          <w:p w:rsidR="006B1658" w:rsidRDefault="006B1658" w:rsidP="00951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B1658" w:rsidTr="00951288">
        <w:tc>
          <w:tcPr>
            <w:tcW w:w="2880" w:type="dxa"/>
          </w:tcPr>
          <w:p w:rsidR="006B1658" w:rsidRDefault="006B1658" w:rsidP="009512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16" w:type="dxa"/>
          </w:tcPr>
          <w:p w:rsidR="006B1658" w:rsidRDefault="006B1658" w:rsidP="00951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44" w:type="dxa"/>
          </w:tcPr>
          <w:p w:rsidR="006B1658" w:rsidRDefault="006B1658" w:rsidP="00951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44" w:type="dxa"/>
          </w:tcPr>
          <w:p w:rsidR="006B1658" w:rsidRDefault="006B1658" w:rsidP="00951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45,11</w:t>
            </w:r>
          </w:p>
        </w:tc>
        <w:tc>
          <w:tcPr>
            <w:tcW w:w="1491" w:type="dxa"/>
          </w:tcPr>
          <w:p w:rsidR="006B1658" w:rsidRDefault="006B1658" w:rsidP="00951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в45,11р</w:t>
            </w:r>
          </w:p>
        </w:tc>
      </w:tr>
      <w:tr w:rsidR="006B1658" w:rsidTr="00951288">
        <w:tc>
          <w:tcPr>
            <w:tcW w:w="2880" w:type="dxa"/>
          </w:tcPr>
          <w:p w:rsidR="006B1658" w:rsidRDefault="006B1658" w:rsidP="009512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16" w:type="dxa"/>
          </w:tcPr>
          <w:p w:rsidR="006B1658" w:rsidRDefault="006B1658" w:rsidP="00951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6B1658" w:rsidRDefault="006B1658" w:rsidP="00951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1912,41</w:t>
            </w:r>
          </w:p>
        </w:tc>
        <w:tc>
          <w:tcPr>
            <w:tcW w:w="1744" w:type="dxa"/>
          </w:tcPr>
          <w:p w:rsidR="006B1658" w:rsidRDefault="006B1658" w:rsidP="00951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2057,70</w:t>
            </w:r>
          </w:p>
        </w:tc>
        <w:tc>
          <w:tcPr>
            <w:tcW w:w="1491" w:type="dxa"/>
          </w:tcPr>
          <w:p w:rsidR="006B1658" w:rsidRDefault="006B1658" w:rsidP="00951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107,59</w:t>
            </w:r>
          </w:p>
        </w:tc>
      </w:tr>
    </w:tbl>
    <w:p w:rsidR="006B1658" w:rsidRPr="0028417A" w:rsidRDefault="006B1658" w:rsidP="006B16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1658" w:rsidRDefault="006B1658" w:rsidP="006B16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бюджет сельского поселения сумона Солчурский Овюрского кожууна Республики Тыва исполнен  с профицитом с превышением доходов  над расходами на сумму 27,75 тыс. рублей.</w:t>
      </w:r>
    </w:p>
    <w:p w:rsidR="0095665E" w:rsidRDefault="0095665E"/>
    <w:sectPr w:rsidR="0095665E" w:rsidSect="002700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24E94"/>
    <w:multiLevelType w:val="hybridMultilevel"/>
    <w:tmpl w:val="2C04D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3C"/>
    <w:rsid w:val="0037473C"/>
    <w:rsid w:val="006B1658"/>
    <w:rsid w:val="0095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916F"/>
  <w15:chartTrackingRefBased/>
  <w15:docId w15:val="{47BF63B2-A838-4CF2-8D7C-1A362136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658"/>
    <w:pPr>
      <w:ind w:left="720"/>
      <w:contextualSpacing/>
    </w:pPr>
  </w:style>
  <w:style w:type="table" w:styleId="a4">
    <w:name w:val="Table Grid"/>
    <w:basedOn w:val="a1"/>
    <w:uiPriority w:val="39"/>
    <w:rsid w:val="006B1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2020-09-02T12:04:00Z</dcterms:created>
  <dcterms:modified xsi:type="dcterms:W3CDTF">2020-09-02T12:04:00Z</dcterms:modified>
</cp:coreProperties>
</file>